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F11C1" w14:textId="77777777" w:rsidR="001C78A5" w:rsidRDefault="0032233E" w:rsidP="001C78A5">
      <w:pPr>
        <w:pStyle w:val="NormalWeb"/>
        <w:spacing w:before="0" w:beforeAutospacing="0" w:after="0" w:afterAutospacing="0"/>
        <w:jc w:val="right"/>
        <w:rPr>
          <w:rFonts w:ascii="Calibri" w:hAnsi="Calibri"/>
        </w:rPr>
      </w:pPr>
      <w:r>
        <w:rPr>
          <w:rStyle w:val="Strong"/>
          <w:rFonts w:ascii="Calibri" w:hAnsi="Calibri"/>
          <w:color w:val="000000"/>
        </w:rPr>
        <w:t>FOR IMMEDIATE RELEASE: AUGUST 2</w:t>
      </w:r>
      <w:r w:rsidR="001C78A5">
        <w:rPr>
          <w:rStyle w:val="Strong"/>
          <w:rFonts w:ascii="Calibri" w:hAnsi="Calibri"/>
          <w:color w:val="000000"/>
        </w:rPr>
        <w:t>, 2018</w:t>
      </w:r>
    </w:p>
    <w:p w14:paraId="43C90888" w14:textId="77777777" w:rsidR="001C78A5" w:rsidRDefault="00C12025" w:rsidP="001C78A5">
      <w:pPr>
        <w:pStyle w:val="NormalWeb"/>
        <w:spacing w:before="0" w:beforeAutospacing="0" w:after="0" w:afterAutospacing="0"/>
        <w:rPr>
          <w:rFonts w:ascii="Calibri" w:hAnsi="Calibri"/>
        </w:rPr>
      </w:pPr>
      <w:r>
        <w:rPr>
          <w:rStyle w:val="Strong"/>
          <w:rFonts w:ascii="Calibri" w:hAnsi="Calibri"/>
          <w:color w:val="000000"/>
        </w:rPr>
        <w:t>Laura Lawrence</w:t>
      </w:r>
    </w:p>
    <w:p w14:paraId="12592712" w14:textId="77777777" w:rsidR="001C78A5" w:rsidRDefault="00C12025" w:rsidP="001C78A5">
      <w:pPr>
        <w:pStyle w:val="NormalWeb"/>
        <w:spacing w:before="0" w:beforeAutospacing="0" w:after="0" w:afterAutospacing="0"/>
        <w:rPr>
          <w:rFonts w:ascii="Calibri" w:hAnsi="Calibri"/>
        </w:rPr>
      </w:pPr>
      <w:r>
        <w:rPr>
          <w:rStyle w:val="Strong"/>
          <w:rFonts w:ascii="Calibri" w:hAnsi="Calibri"/>
          <w:color w:val="000000"/>
        </w:rPr>
        <w:t>941.737.3808</w:t>
      </w:r>
    </w:p>
    <w:p w14:paraId="013C92F8" w14:textId="77777777" w:rsidR="001C78A5" w:rsidRDefault="00C12025" w:rsidP="001C78A5">
      <w:pPr>
        <w:pStyle w:val="NormalWeb"/>
        <w:spacing w:before="0" w:beforeAutospacing="0" w:after="0" w:afterAutospacing="0"/>
        <w:rPr>
          <w:rFonts w:ascii="Calibri" w:hAnsi="Calibri"/>
        </w:rPr>
      </w:pPr>
      <w:r>
        <w:rPr>
          <w:rStyle w:val="Strong"/>
          <w:rFonts w:ascii="Calibri" w:hAnsi="Calibri"/>
          <w:color w:val="000000"/>
        </w:rPr>
        <w:t>laural</w:t>
      </w:r>
      <w:r w:rsidR="001C78A5">
        <w:rPr>
          <w:rStyle w:val="Strong"/>
          <w:rFonts w:ascii="Calibri" w:hAnsi="Calibri"/>
          <w:color w:val="000000"/>
        </w:rPr>
        <w:t>@ijsa.com</w:t>
      </w:r>
    </w:p>
    <w:p w14:paraId="0BDED4C4" w14:textId="77777777" w:rsidR="001C78A5" w:rsidRDefault="001C78A5" w:rsidP="001C78A5">
      <w:pPr>
        <w:jc w:val="center"/>
        <w:rPr>
          <w:b/>
        </w:rPr>
      </w:pPr>
    </w:p>
    <w:p w14:paraId="7E951E2B" w14:textId="77777777" w:rsidR="007E7208" w:rsidRDefault="0032233E" w:rsidP="001C78A5">
      <w:pPr>
        <w:jc w:val="center"/>
        <w:rPr>
          <w:b/>
        </w:rPr>
      </w:pPr>
      <w:r>
        <w:rPr>
          <w:b/>
        </w:rPr>
        <w:t>Leading Junior Golf Academies BGGA and IJGA Launch Series of Elite Junior Events with HJGT</w:t>
      </w:r>
    </w:p>
    <w:p w14:paraId="39B36174" w14:textId="77777777" w:rsidR="00080D44" w:rsidRDefault="00080D44" w:rsidP="001C78A5">
      <w:pPr>
        <w:jc w:val="center"/>
        <w:rPr>
          <w:b/>
        </w:rPr>
      </w:pPr>
    </w:p>
    <w:p w14:paraId="31AE6ABF" w14:textId="77777777" w:rsidR="00080D44" w:rsidRDefault="0032233E" w:rsidP="001C78A5">
      <w:pPr>
        <w:jc w:val="center"/>
        <w:rPr>
          <w:i/>
        </w:rPr>
      </w:pPr>
      <w:r>
        <w:rPr>
          <w:i/>
        </w:rPr>
        <w:t>Through collaboration with partner IJGT and Hurricane Golf Tour</w:t>
      </w:r>
    </w:p>
    <w:p w14:paraId="0B41DF6E" w14:textId="77777777" w:rsidR="0032233E" w:rsidRDefault="0032233E" w:rsidP="001C78A5">
      <w:pPr>
        <w:jc w:val="center"/>
        <w:rPr>
          <w:i/>
        </w:rPr>
      </w:pPr>
    </w:p>
    <w:p w14:paraId="792541B8" w14:textId="0BC716CD" w:rsidR="0032233E" w:rsidRDefault="0032233E" w:rsidP="0032233E">
      <w:pPr>
        <w:widowControl w:val="0"/>
        <w:pBdr>
          <w:top w:val="nil"/>
          <w:left w:val="nil"/>
          <w:bottom w:val="nil"/>
          <w:right w:val="nil"/>
          <w:between w:val="nil"/>
        </w:pBdr>
        <w:spacing w:line="276" w:lineRule="auto"/>
        <w:contextualSpacing/>
        <w:rPr>
          <w:rFonts w:cstheme="minorHAnsi"/>
          <w:color w:val="000000" w:themeColor="text1"/>
        </w:rPr>
      </w:pPr>
      <w:r w:rsidRPr="0032233E">
        <w:rPr>
          <w:rFonts w:cstheme="minorHAnsi"/>
          <w:color w:val="000000" w:themeColor="text1"/>
        </w:rPr>
        <w:t xml:space="preserve">Through collaboration with our partner IJGT and </w:t>
      </w:r>
      <w:r w:rsidR="009E6AB2">
        <w:rPr>
          <w:rFonts w:cstheme="minorHAnsi"/>
          <w:color w:val="000000" w:themeColor="text1"/>
        </w:rPr>
        <w:t>another</w:t>
      </w:r>
      <w:r w:rsidRPr="0032233E">
        <w:rPr>
          <w:rFonts w:cstheme="minorHAnsi"/>
          <w:color w:val="000000" w:themeColor="text1"/>
        </w:rPr>
        <w:t xml:space="preserve"> l</w:t>
      </w:r>
      <w:r>
        <w:rPr>
          <w:rFonts w:cstheme="minorHAnsi"/>
          <w:color w:val="000000" w:themeColor="text1"/>
        </w:rPr>
        <w:t xml:space="preserve">eading junior golf tour HJGT, Bishops Gate Golf Academy (BGGA) and International Junior Golf Academy (IJGA) </w:t>
      </w:r>
      <w:r w:rsidRPr="0032233E">
        <w:rPr>
          <w:rFonts w:cstheme="minorHAnsi"/>
          <w:color w:val="000000" w:themeColor="text1"/>
        </w:rPr>
        <w:t xml:space="preserve">have launched a series of new elite events, by invitation only, to the strongest junior golfers, starting with two events Fall 2018 and four Spring 2019, giving </w:t>
      </w:r>
      <w:r w:rsidR="009E6AB2">
        <w:rPr>
          <w:rFonts w:cstheme="minorHAnsi"/>
          <w:color w:val="000000" w:themeColor="text1"/>
        </w:rPr>
        <w:t xml:space="preserve">BGGA and IJGA </w:t>
      </w:r>
      <w:r w:rsidRPr="0032233E">
        <w:rPr>
          <w:rFonts w:cstheme="minorHAnsi"/>
          <w:color w:val="000000" w:themeColor="text1"/>
        </w:rPr>
        <w:t xml:space="preserve">students better opportunities for higher JGS ranking points through stronger fields. </w:t>
      </w:r>
      <w:bookmarkStart w:id="0" w:name="_GoBack"/>
      <w:bookmarkEnd w:id="0"/>
    </w:p>
    <w:p w14:paraId="255729FB" w14:textId="77777777" w:rsidR="009E6AB2" w:rsidRPr="009E6AB2" w:rsidRDefault="009E6AB2" w:rsidP="0032233E">
      <w:pPr>
        <w:widowControl w:val="0"/>
        <w:pBdr>
          <w:top w:val="nil"/>
          <w:left w:val="nil"/>
          <w:bottom w:val="nil"/>
          <w:right w:val="nil"/>
          <w:between w:val="nil"/>
        </w:pBdr>
        <w:spacing w:line="276" w:lineRule="auto"/>
        <w:contextualSpacing/>
        <w:rPr>
          <w:rFonts w:cstheme="minorHAnsi"/>
          <w:color w:val="000000" w:themeColor="text1"/>
        </w:rPr>
      </w:pPr>
    </w:p>
    <w:p w14:paraId="1BF238A9" w14:textId="77777777" w:rsidR="009E6AB2" w:rsidRPr="009E6AB2" w:rsidRDefault="009E6AB2" w:rsidP="009E6AB2">
      <w:pPr>
        <w:spacing w:after="300"/>
        <w:rPr>
          <w:rFonts w:eastAsia="Times New Roman" w:cstheme="minorHAnsi"/>
          <w:lang w:eastAsia="en-US"/>
        </w:rPr>
      </w:pPr>
      <w:r w:rsidRPr="009E6AB2">
        <w:rPr>
          <w:rFonts w:eastAsia="Times New Roman" w:cstheme="minorHAnsi"/>
          <w:lang w:eastAsia="en-US"/>
        </w:rPr>
        <w:t>In its first full season, the series will be concentrated in Orlando, Florida and Hilton Head, South Carolina with one open Boys division and one open Girls division. </w:t>
      </w:r>
    </w:p>
    <w:p w14:paraId="367460E5" w14:textId="77777777" w:rsidR="009E6AB2" w:rsidRPr="009E6AB2" w:rsidRDefault="009E6AB2" w:rsidP="009E6AB2">
      <w:pPr>
        <w:spacing w:after="300"/>
        <w:rPr>
          <w:rFonts w:eastAsia="Times New Roman" w:cstheme="minorHAnsi"/>
          <w:lang w:eastAsia="en-US"/>
        </w:rPr>
      </w:pPr>
      <w:r w:rsidRPr="009E6AB2">
        <w:rPr>
          <w:rFonts w:eastAsia="Times New Roman" w:cstheme="minorHAnsi"/>
          <w:lang w:eastAsia="en-US"/>
        </w:rPr>
        <w:t>The purpose of these events is to have junior golfers play on courses that mimic the setup of college golf which furthers the HJGT’s mission to grow the game of golf amongst juniors. Minimum yardages for Boys will be 7,000 yards (or as long as the course plays) while the girls will play 6,000 yards.</w:t>
      </w:r>
    </w:p>
    <w:p w14:paraId="29B5FF32" w14:textId="77777777" w:rsidR="009E6AB2" w:rsidRPr="009E6AB2" w:rsidRDefault="009E6AB2" w:rsidP="009E6AB2">
      <w:pPr>
        <w:spacing w:after="300"/>
        <w:rPr>
          <w:rFonts w:eastAsia="Times New Roman" w:cstheme="minorHAnsi"/>
          <w:lang w:eastAsia="en-US"/>
        </w:rPr>
      </w:pPr>
      <w:r w:rsidRPr="009E6AB2">
        <w:rPr>
          <w:rFonts w:eastAsia="Times New Roman" w:cstheme="minorHAnsi"/>
          <w:lang w:eastAsia="en-US"/>
        </w:rPr>
        <w:t xml:space="preserve">“We are extremely excited to add yet another layer of top notch </w:t>
      </w:r>
      <w:proofErr w:type="gramStart"/>
      <w:r w:rsidRPr="009E6AB2">
        <w:rPr>
          <w:rFonts w:eastAsia="Times New Roman" w:cstheme="minorHAnsi"/>
          <w:lang w:eastAsia="en-US"/>
        </w:rPr>
        <w:t>events</w:t>
      </w:r>
      <w:proofErr w:type="gramEnd"/>
      <w:r w:rsidRPr="009E6AB2">
        <w:rPr>
          <w:rFonts w:eastAsia="Times New Roman" w:cstheme="minorHAnsi"/>
          <w:lang w:eastAsia="en-US"/>
        </w:rPr>
        <w:t xml:space="preserve"> to the HJGT’s schedule,” said Mario Conte, Executive Director/Founder, HJGT. “These elite events will give our top players a chance to compete against the best competition on golf courses that are setup to mirror what they will see in college golf. With the support from the IJGT, IJGA, and BGGA these events will be successful immediately with some of the top juniors in the world.”</w:t>
      </w:r>
    </w:p>
    <w:p w14:paraId="460BD803" w14:textId="77777777" w:rsidR="009E6AB2" w:rsidRPr="009E6AB2" w:rsidRDefault="009E6AB2" w:rsidP="009E6AB2">
      <w:pPr>
        <w:spacing w:after="300"/>
        <w:rPr>
          <w:rFonts w:eastAsia="Times New Roman" w:cstheme="minorHAnsi"/>
          <w:lang w:eastAsia="en-US"/>
        </w:rPr>
      </w:pPr>
      <w:r w:rsidRPr="009E6AB2">
        <w:rPr>
          <w:rFonts w:eastAsia="Times New Roman" w:cstheme="minorHAnsi"/>
          <w:lang w:eastAsia="en-US"/>
        </w:rPr>
        <w:t xml:space="preserve">To qualify for these </w:t>
      </w:r>
      <w:proofErr w:type="gramStart"/>
      <w:r w:rsidRPr="009E6AB2">
        <w:rPr>
          <w:rFonts w:eastAsia="Times New Roman" w:cstheme="minorHAnsi"/>
          <w:lang w:eastAsia="en-US"/>
        </w:rPr>
        <w:t>84 player</w:t>
      </w:r>
      <w:proofErr w:type="gramEnd"/>
      <w:r w:rsidRPr="009E6AB2">
        <w:rPr>
          <w:rFonts w:eastAsia="Times New Roman" w:cstheme="minorHAnsi"/>
          <w:lang w:eastAsia="en-US"/>
        </w:rPr>
        <w:t xml:space="preserve"> max field events one must be: in the Top 25% on the HJGT points list (at the time of sign up), in the Top 33% in the Junior Golf Scoreboard Rankings (at the time of sign up), a winner of an HJGT event in the last 365 days, a Top 5 finisher in any HJGT invitational, or a member of the 2018 All-HJGT team. At each event 5 scholarships will be awarded through the Hurricane Foundation based on financial need and playing ability. To apply for the scholarships please visit HJGT.org and visit the “HJGT Charity” webpage. </w:t>
      </w:r>
    </w:p>
    <w:p w14:paraId="4F6AC36E" w14:textId="77777777" w:rsidR="0032233E" w:rsidRPr="009E6AB2" w:rsidRDefault="009E6AB2" w:rsidP="009E6AB2">
      <w:pPr>
        <w:spacing w:after="300"/>
        <w:rPr>
          <w:rFonts w:eastAsia="Times New Roman" w:cstheme="minorHAnsi"/>
          <w:lang w:eastAsia="en-US"/>
        </w:rPr>
      </w:pPr>
      <w:r w:rsidRPr="009E6AB2">
        <w:rPr>
          <w:rFonts w:eastAsia="Times New Roman" w:cstheme="minorHAnsi"/>
          <w:lang w:eastAsia="en-US"/>
        </w:rPr>
        <w:t> “With the support of their partner International Junior Golf Tour (IJGT), the Bishops Gate Golf Academy (BGGA) and International Junior Golf Academy (IJGA) are proud to support the newly formed elite series events with their strongest students,” said Andrew Summers, CEO of IJGT, IJGA, and BGGA.  Students from these academies won seventy junior golf events, including many high profile national events, and through their participation will ensure that the HJGT elite series events have amongst the strongest fields in junior golf outside of the premier national events.”</w:t>
      </w:r>
    </w:p>
    <w:p w14:paraId="4DD832B8" w14:textId="77777777" w:rsidR="0032233E" w:rsidRDefault="0032233E" w:rsidP="0032233E">
      <w:pPr>
        <w:widowControl w:val="0"/>
        <w:pBdr>
          <w:top w:val="nil"/>
          <w:left w:val="nil"/>
          <w:bottom w:val="nil"/>
          <w:right w:val="nil"/>
          <w:between w:val="nil"/>
        </w:pBdr>
        <w:spacing w:line="276" w:lineRule="auto"/>
        <w:contextualSpacing/>
        <w:rPr>
          <w:rFonts w:cstheme="minorHAnsi"/>
          <w:color w:val="000000" w:themeColor="text1"/>
        </w:rPr>
      </w:pPr>
      <w:r>
        <w:rPr>
          <w:rFonts w:cstheme="minorHAnsi"/>
          <w:color w:val="000000" w:themeColor="text1"/>
        </w:rPr>
        <w:lastRenderedPageBreak/>
        <w:t>In addition, t</w:t>
      </w:r>
      <w:r w:rsidRPr="0032233E">
        <w:rPr>
          <w:rFonts w:cstheme="minorHAnsi"/>
          <w:color w:val="000000" w:themeColor="text1"/>
        </w:rPr>
        <w:t>hrough our partnership with IJGT our students also compete in Faldo Series Regional Finals, on route to U.S. Grand Finals, where winners go on to play Faldo European or Asian Grand Finals</w:t>
      </w:r>
      <w:r>
        <w:rPr>
          <w:rFonts w:cstheme="minorHAnsi"/>
          <w:color w:val="000000" w:themeColor="text1"/>
        </w:rPr>
        <w:t>.</w:t>
      </w:r>
    </w:p>
    <w:p w14:paraId="7A1E9BED" w14:textId="77777777" w:rsidR="0032233E" w:rsidRPr="0032233E" w:rsidRDefault="0032233E" w:rsidP="0032233E">
      <w:pPr>
        <w:widowControl w:val="0"/>
        <w:pBdr>
          <w:top w:val="nil"/>
          <w:left w:val="nil"/>
          <w:bottom w:val="nil"/>
          <w:right w:val="nil"/>
          <w:between w:val="nil"/>
        </w:pBdr>
        <w:spacing w:line="276" w:lineRule="auto"/>
        <w:contextualSpacing/>
        <w:rPr>
          <w:rFonts w:cstheme="minorHAnsi"/>
          <w:color w:val="000000" w:themeColor="text1"/>
        </w:rPr>
      </w:pPr>
    </w:p>
    <w:p w14:paraId="0350C033" w14:textId="751539D7" w:rsidR="0032233E" w:rsidRDefault="0032233E" w:rsidP="0032233E">
      <w:pPr>
        <w:widowControl w:val="0"/>
        <w:pBdr>
          <w:top w:val="nil"/>
          <w:left w:val="nil"/>
          <w:bottom w:val="nil"/>
          <w:right w:val="nil"/>
          <w:between w:val="nil"/>
        </w:pBdr>
        <w:spacing w:after="200" w:line="276" w:lineRule="auto"/>
        <w:contextualSpacing/>
        <w:rPr>
          <w:rFonts w:cstheme="minorHAnsi"/>
          <w:color w:val="000000" w:themeColor="text1"/>
        </w:rPr>
      </w:pPr>
      <w:r>
        <w:rPr>
          <w:rFonts w:cstheme="minorHAnsi"/>
          <w:color w:val="000000" w:themeColor="text1"/>
        </w:rPr>
        <w:t>BGGA and IJGA s</w:t>
      </w:r>
      <w:r w:rsidRPr="0032233E">
        <w:rPr>
          <w:rFonts w:cstheme="minorHAnsi"/>
          <w:color w:val="000000" w:themeColor="text1"/>
        </w:rPr>
        <w:t>tudents also earns points in the IJGT Race to Scotland competition, where the leading point winners get a trip to Scotland to play on six links courses, typically ending on The Old Course at St Andrews.</w:t>
      </w:r>
    </w:p>
    <w:p w14:paraId="4A58F241" w14:textId="515278E9" w:rsidR="006721B8" w:rsidRDefault="006721B8" w:rsidP="0032233E">
      <w:pPr>
        <w:widowControl w:val="0"/>
        <w:pBdr>
          <w:top w:val="nil"/>
          <w:left w:val="nil"/>
          <w:bottom w:val="nil"/>
          <w:right w:val="nil"/>
          <w:between w:val="nil"/>
        </w:pBdr>
        <w:spacing w:after="200" w:line="276" w:lineRule="auto"/>
        <w:contextualSpacing/>
        <w:rPr>
          <w:rFonts w:cstheme="minorHAnsi"/>
          <w:color w:val="000000" w:themeColor="text1"/>
        </w:rPr>
      </w:pPr>
    </w:p>
    <w:p w14:paraId="575FAD6A" w14:textId="77777777" w:rsidR="006721B8" w:rsidRPr="006721B8" w:rsidRDefault="00395BE9" w:rsidP="006721B8">
      <w:pPr>
        <w:pStyle w:val="NormalWeb"/>
        <w:rPr>
          <w:rFonts w:ascii="Calibri" w:hAnsi="Calibri"/>
          <w:lang w:val="en"/>
        </w:rPr>
      </w:pPr>
      <w:hyperlink r:id="rId5">
        <w:r w:rsidR="006721B8" w:rsidRPr="006721B8">
          <w:rPr>
            <w:rStyle w:val="Hyperlink"/>
            <w:rFonts w:ascii="Calibri" w:hAnsi="Calibri"/>
            <w:b/>
            <w:lang w:val="en"/>
          </w:rPr>
          <w:t>About IJGA</w:t>
        </w:r>
      </w:hyperlink>
      <w:r w:rsidR="006721B8" w:rsidRPr="006721B8">
        <w:rPr>
          <w:rFonts w:ascii="Calibri" w:hAnsi="Calibri"/>
          <w:b/>
          <w:lang w:val="en"/>
        </w:rPr>
        <w:t>:</w:t>
      </w:r>
      <w:r w:rsidR="006721B8" w:rsidRPr="006721B8">
        <w:rPr>
          <w:rFonts w:ascii="Calibri" w:hAnsi="Calibri"/>
          <w:lang w:val="en"/>
        </w:rPr>
        <w:t xml:space="preserve"> The International Junior Golf Academy (IJGA) was founded in 1995 on Hilton Head Island, SC as a home for elite juniors from around the world looking to earn college golf scholarships in the United States. Since 1995, IJGA has achieved nearly 100% college placement an</w:t>
      </w:r>
      <w:r w:rsidR="006721B8">
        <w:rPr>
          <w:rFonts w:ascii="Calibri" w:hAnsi="Calibri"/>
          <w:lang w:val="en"/>
        </w:rPr>
        <w:t>d graduates have earned over $52</w:t>
      </w:r>
      <w:r w:rsidR="006721B8" w:rsidRPr="006721B8">
        <w:rPr>
          <w:rFonts w:ascii="Calibri" w:hAnsi="Calibri"/>
          <w:lang w:val="en"/>
        </w:rPr>
        <w:t xml:space="preserve"> million in college golf scholarships. IJGA continues to develop the character and skill of junior golfers, while helping them achieve their goals.  </w:t>
      </w:r>
    </w:p>
    <w:p w14:paraId="6B99D336" w14:textId="711D320F" w:rsidR="001C78A5" w:rsidRDefault="001C78A5"/>
    <w:p w14:paraId="0748B768" w14:textId="77777777" w:rsidR="001C78A5" w:rsidRDefault="001C78A5" w:rsidP="001C78A5">
      <w:pPr>
        <w:pStyle w:val="NormalWeb"/>
        <w:spacing w:before="0" w:beforeAutospacing="0" w:after="0" w:afterAutospacing="0"/>
        <w:rPr>
          <w:rFonts w:ascii="Calibri" w:hAnsi="Calibri"/>
        </w:rPr>
      </w:pPr>
      <w:r>
        <w:rPr>
          <w:rStyle w:val="Strong"/>
          <w:rFonts w:ascii="Calibri" w:hAnsi="Calibri"/>
          <w:color w:val="000000"/>
        </w:rPr>
        <w:t>About Bishops Gate Golf Academy</w:t>
      </w:r>
    </w:p>
    <w:p w14:paraId="225E6BFE" w14:textId="2EC40502" w:rsidR="006721B8" w:rsidRDefault="001C78A5" w:rsidP="006721B8">
      <w:pPr>
        <w:pStyle w:val="NormalWeb"/>
        <w:spacing w:before="0" w:beforeAutospacing="0" w:after="0" w:afterAutospacing="0"/>
        <w:rPr>
          <w:rFonts w:ascii="Calibri" w:hAnsi="Calibri"/>
          <w:color w:val="000000"/>
        </w:rPr>
      </w:pPr>
      <w:r>
        <w:rPr>
          <w:rFonts w:ascii="Calibri" w:hAnsi="Calibri"/>
          <w:color w:val="000000"/>
        </w:rPr>
        <w:t>The Mission of the Bishops Gate Golf Academy (BGGA) is to inspire and build excellence of golf skill and character in our student-athletes. BGGA’s golf development program combines athletics and academics for high school and postgraduate students with boarding and non-boarding options. Our coaching team delivers a strong individualized program that combines technical, mental, strategic and physical development in an ongoing cycle of training, preparation and tournament competition. (</w:t>
      </w:r>
      <w:hyperlink r:id="rId6" w:history="1">
        <w:r>
          <w:rPr>
            <w:rStyle w:val="Hyperlink"/>
            <w:rFonts w:ascii="Calibri" w:hAnsi="Calibri"/>
            <w:color w:val="0563C1"/>
          </w:rPr>
          <w:t>www.bgga.com</w:t>
        </w:r>
      </w:hyperlink>
      <w:r>
        <w:rPr>
          <w:rFonts w:ascii="Calibri" w:hAnsi="Calibri"/>
          <w:color w:val="000000"/>
        </w:rPr>
        <w:t>)</w:t>
      </w:r>
    </w:p>
    <w:p w14:paraId="3DAB332A" w14:textId="77777777" w:rsidR="006721B8" w:rsidRDefault="006721B8" w:rsidP="001C78A5">
      <w:pPr>
        <w:pStyle w:val="NormalWeb"/>
        <w:spacing w:before="0" w:beforeAutospacing="0" w:after="0" w:afterAutospacing="0"/>
        <w:rPr>
          <w:rFonts w:ascii="Calibri" w:hAnsi="Calibri"/>
        </w:rPr>
      </w:pPr>
    </w:p>
    <w:p w14:paraId="16467695" w14:textId="77777777" w:rsidR="001C78A5" w:rsidRDefault="001C78A5" w:rsidP="001C78A5">
      <w:pPr>
        <w:pStyle w:val="NormalWeb"/>
        <w:spacing w:before="0" w:beforeAutospacing="0" w:after="0" w:afterAutospacing="0"/>
        <w:rPr>
          <w:rFonts w:ascii="Calibri" w:hAnsi="Calibri"/>
        </w:rPr>
      </w:pPr>
      <w:r>
        <w:rPr>
          <w:rFonts w:ascii="Calibri" w:hAnsi="Calibri"/>
          <w:color w:val="000000"/>
        </w:rPr>
        <w:t> </w:t>
      </w:r>
    </w:p>
    <w:p w14:paraId="284001A1" w14:textId="77777777" w:rsidR="001C78A5" w:rsidRPr="008E6572" w:rsidRDefault="001C78A5" w:rsidP="001C78A5">
      <w:pPr>
        <w:pStyle w:val="NormalWeb"/>
        <w:spacing w:before="0" w:beforeAutospacing="0" w:after="0" w:afterAutospacing="0"/>
        <w:jc w:val="center"/>
        <w:rPr>
          <w:rFonts w:ascii="Calibri" w:hAnsi="Calibri"/>
        </w:rPr>
      </w:pPr>
      <w:r>
        <w:rPr>
          <w:rFonts w:ascii="Calibri" w:hAnsi="Calibri"/>
          <w:color w:val="000000"/>
        </w:rPr>
        <w:t>###</w:t>
      </w:r>
    </w:p>
    <w:p w14:paraId="3A8B4C9D" w14:textId="77777777" w:rsidR="001C78A5" w:rsidRDefault="001C78A5"/>
    <w:sectPr w:rsidR="001C78A5" w:rsidSect="00183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3E21A0"/>
    <w:multiLevelType w:val="multilevel"/>
    <w:tmpl w:val="6552769E"/>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8A5"/>
    <w:rsid w:val="00013DCE"/>
    <w:rsid w:val="00080D44"/>
    <w:rsid w:val="00183A40"/>
    <w:rsid w:val="001C78A5"/>
    <w:rsid w:val="002004C4"/>
    <w:rsid w:val="0032233E"/>
    <w:rsid w:val="00395BE9"/>
    <w:rsid w:val="0048279B"/>
    <w:rsid w:val="00592E51"/>
    <w:rsid w:val="006721B8"/>
    <w:rsid w:val="007E7208"/>
    <w:rsid w:val="009E6AB2"/>
    <w:rsid w:val="00C12025"/>
    <w:rsid w:val="00E244BD"/>
    <w:rsid w:val="00E61041"/>
    <w:rsid w:val="00FD4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0BFB76"/>
  <w14:defaultImageDpi w14:val="32767"/>
  <w15:docId w15:val="{190A31B6-5165-B94F-9F4D-469EDAB58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8A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8A5"/>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1C78A5"/>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1C78A5"/>
    <w:rPr>
      <w:b/>
      <w:bCs/>
    </w:rPr>
  </w:style>
  <w:style w:type="character" w:styleId="Hyperlink">
    <w:name w:val="Hyperlink"/>
    <w:basedOn w:val="DefaultParagraphFont"/>
    <w:uiPriority w:val="99"/>
    <w:unhideWhenUsed/>
    <w:rsid w:val="001C78A5"/>
    <w:rPr>
      <w:color w:val="0563C1" w:themeColor="hyperlink"/>
      <w:u w:val="single"/>
    </w:rPr>
  </w:style>
  <w:style w:type="character" w:styleId="UnresolvedMention">
    <w:name w:val="Unresolved Mention"/>
    <w:basedOn w:val="DefaultParagraphFont"/>
    <w:uiPriority w:val="99"/>
    <w:semiHidden/>
    <w:unhideWhenUsed/>
    <w:rsid w:val="006721B8"/>
    <w:rPr>
      <w:color w:val="605E5C"/>
      <w:shd w:val="clear" w:color="auto" w:fill="E1DFDD"/>
    </w:rPr>
  </w:style>
  <w:style w:type="character" w:styleId="FollowedHyperlink">
    <w:name w:val="FollowedHyperlink"/>
    <w:basedOn w:val="DefaultParagraphFont"/>
    <w:uiPriority w:val="99"/>
    <w:semiHidden/>
    <w:unhideWhenUsed/>
    <w:rsid w:val="006721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738530">
      <w:bodyDiv w:val="1"/>
      <w:marLeft w:val="0"/>
      <w:marRight w:val="0"/>
      <w:marTop w:val="0"/>
      <w:marBottom w:val="0"/>
      <w:divBdr>
        <w:top w:val="none" w:sz="0" w:space="0" w:color="auto"/>
        <w:left w:val="none" w:sz="0" w:space="0" w:color="auto"/>
        <w:bottom w:val="none" w:sz="0" w:space="0" w:color="auto"/>
        <w:right w:val="none" w:sz="0" w:space="0" w:color="auto"/>
      </w:divBdr>
    </w:div>
    <w:div w:id="873660624">
      <w:bodyDiv w:val="1"/>
      <w:marLeft w:val="0"/>
      <w:marRight w:val="0"/>
      <w:marTop w:val="0"/>
      <w:marBottom w:val="0"/>
      <w:divBdr>
        <w:top w:val="none" w:sz="0" w:space="0" w:color="auto"/>
        <w:left w:val="none" w:sz="0" w:space="0" w:color="auto"/>
        <w:bottom w:val="none" w:sz="0" w:space="0" w:color="auto"/>
        <w:right w:val="none" w:sz="0" w:space="0" w:color="auto"/>
      </w:divBdr>
    </w:div>
    <w:div w:id="999311485">
      <w:bodyDiv w:val="1"/>
      <w:marLeft w:val="0"/>
      <w:marRight w:val="0"/>
      <w:marTop w:val="0"/>
      <w:marBottom w:val="0"/>
      <w:divBdr>
        <w:top w:val="none" w:sz="0" w:space="0" w:color="auto"/>
        <w:left w:val="none" w:sz="0" w:space="0" w:color="auto"/>
        <w:bottom w:val="none" w:sz="0" w:space="0" w:color="auto"/>
        <w:right w:val="none" w:sz="0" w:space="0" w:color="auto"/>
      </w:divBdr>
    </w:div>
    <w:div w:id="1868059140">
      <w:bodyDiv w:val="1"/>
      <w:marLeft w:val="0"/>
      <w:marRight w:val="0"/>
      <w:marTop w:val="0"/>
      <w:marBottom w:val="0"/>
      <w:divBdr>
        <w:top w:val="none" w:sz="0" w:space="0" w:color="auto"/>
        <w:left w:val="none" w:sz="0" w:space="0" w:color="auto"/>
        <w:bottom w:val="none" w:sz="0" w:space="0" w:color="auto"/>
        <w:right w:val="none" w:sz="0" w:space="0" w:color="auto"/>
      </w:divBdr>
      <w:divsChild>
        <w:div w:id="1240555820">
          <w:marLeft w:val="0"/>
          <w:marRight w:val="0"/>
          <w:marTop w:val="0"/>
          <w:marBottom w:val="0"/>
          <w:divBdr>
            <w:top w:val="none" w:sz="0" w:space="0" w:color="auto"/>
            <w:left w:val="none" w:sz="0" w:space="0" w:color="auto"/>
            <w:bottom w:val="none" w:sz="0" w:space="0" w:color="auto"/>
            <w:right w:val="none" w:sz="0" w:space="0" w:color="auto"/>
          </w:divBdr>
          <w:divsChild>
            <w:div w:id="196615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gga.com/" TargetMode="External"/><Relationship Id="rId5" Type="http://schemas.openxmlformats.org/officeDocument/2006/relationships/hyperlink" Target="https://ijg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Shanks</dc:creator>
  <cp:keywords/>
  <dc:description/>
  <cp:lastModifiedBy>Beth Patton</cp:lastModifiedBy>
  <cp:revision>5</cp:revision>
  <dcterms:created xsi:type="dcterms:W3CDTF">2018-08-02T18:17:00Z</dcterms:created>
  <dcterms:modified xsi:type="dcterms:W3CDTF">2018-08-06T15:19:00Z</dcterms:modified>
</cp:coreProperties>
</file>